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93499" w14:textId="7F79C406" w:rsidR="001050E1" w:rsidRPr="004945E8" w:rsidRDefault="001050E1" w:rsidP="008B1169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x-none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x-none"/>
          <w14:ligatures w14:val="none"/>
        </w:rPr>
        <w:t>ROMÂNIA</w:t>
      </w:r>
    </w:p>
    <w:p w14:paraId="5BAA0C74" w14:textId="0578F0C4" w:rsidR="007179FC" w:rsidRPr="004945E8" w:rsidRDefault="007179FC" w:rsidP="008B1169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x-none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x-none"/>
          <w14:ligatures w14:val="none"/>
        </w:rPr>
        <w:t>JUDEŢUL SATU MARE</w:t>
      </w:r>
    </w:p>
    <w:p w14:paraId="25ACA133" w14:textId="77777777" w:rsidR="007179FC" w:rsidRPr="004945E8" w:rsidRDefault="007179FC" w:rsidP="008B1169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x-none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x-none"/>
          <w14:ligatures w14:val="none"/>
        </w:rPr>
        <w:t xml:space="preserve">CONSILIUL JUDEŢEAN </w:t>
      </w:r>
    </w:p>
    <w:p w14:paraId="1DA61081" w14:textId="5652CA80" w:rsidR="007179FC" w:rsidRPr="004945E8" w:rsidRDefault="007179FC" w:rsidP="008B1169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x-none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x-none"/>
          <w14:ligatures w14:val="none"/>
        </w:rPr>
        <w:t xml:space="preserve">Serviciul </w:t>
      </w:r>
      <w:r w:rsidR="00A733C3" w:rsidRPr="004945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x-none"/>
          <w14:ligatures w14:val="none"/>
        </w:rPr>
        <w:t>managementul resurselor umane</w:t>
      </w:r>
    </w:p>
    <w:p w14:paraId="0789DA02" w14:textId="7C8AFC2E" w:rsidR="007179FC" w:rsidRPr="004945E8" w:rsidRDefault="007179FC" w:rsidP="008B1169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  <w14:ligatures w14:val="none"/>
        </w:rPr>
        <w:t>Nr._______/______202</w:t>
      </w:r>
      <w:r w:rsidR="004300B1"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  <w14:ligatures w14:val="none"/>
        </w:rPr>
        <w:t>5</w:t>
      </w:r>
    </w:p>
    <w:p w14:paraId="481A36DA" w14:textId="77777777" w:rsidR="00243337" w:rsidRDefault="00243337" w:rsidP="008B1169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  <w14:ligatures w14:val="none"/>
        </w:rPr>
      </w:pPr>
    </w:p>
    <w:p w14:paraId="7B00C3C0" w14:textId="77777777" w:rsidR="00CC1D7A" w:rsidRPr="00641AC7" w:rsidRDefault="00CC1D7A" w:rsidP="008B1169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x-none"/>
          <w14:ligatures w14:val="none"/>
        </w:rPr>
      </w:pPr>
    </w:p>
    <w:p w14:paraId="4B7A01D7" w14:textId="77777777" w:rsidR="00CC1D7A" w:rsidRPr="004945E8" w:rsidRDefault="00CC1D7A" w:rsidP="008B1169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  <w14:ligatures w14:val="none"/>
        </w:rPr>
      </w:pPr>
    </w:p>
    <w:p w14:paraId="4E7D21DE" w14:textId="1397D500" w:rsidR="007179FC" w:rsidRPr="004945E8" w:rsidRDefault="007179FC" w:rsidP="008B116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x-none"/>
          <w14:ligatures w14:val="none"/>
        </w:rPr>
        <w:t>RAPORT DE SPECIALITATE</w:t>
      </w:r>
    </w:p>
    <w:p w14:paraId="51268797" w14:textId="30B737A4" w:rsidR="003578EF" w:rsidRPr="004945E8" w:rsidRDefault="00C87552" w:rsidP="008B116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bookmarkStart w:id="0" w:name="_Hlk177723370"/>
      <w:bookmarkStart w:id="1" w:name="_Hlk198882777"/>
      <w:r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privind </w:t>
      </w:r>
      <w:r w:rsidR="00195923"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modificarea</w:t>
      </w:r>
      <w:r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Statului de funcții </w:t>
      </w:r>
    </w:p>
    <w:p w14:paraId="00DCD33E" w14:textId="34851A8A" w:rsidR="00C87552" w:rsidRPr="004945E8" w:rsidRDefault="00C87552" w:rsidP="008B116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al</w:t>
      </w:r>
      <w:r w:rsidR="00243337"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r w:rsidR="003578EF"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aparatului de specialitate al </w:t>
      </w:r>
      <w:r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Consiliului Județean Satu Mare</w:t>
      </w:r>
    </w:p>
    <w:bookmarkEnd w:id="0"/>
    <w:bookmarkEnd w:id="1"/>
    <w:p w14:paraId="72AE3C0F" w14:textId="77777777" w:rsidR="003578EF" w:rsidRPr="00641AC7" w:rsidRDefault="003578EF" w:rsidP="008B1169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14:paraId="514339F5" w14:textId="77777777" w:rsidR="00CC1D7A" w:rsidRPr="008B1169" w:rsidRDefault="00CC1D7A" w:rsidP="008B116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235FEE0" w14:textId="1E5C51E8" w:rsidR="000F604B" w:rsidRDefault="000F604B" w:rsidP="008B1169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bookmarkStart w:id="2" w:name="_Hlk185335713"/>
      <w:r w:rsidRPr="000F604B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Referitor la Proiectul de hotărâre privind modificarea Statului de funcții al</w:t>
      </w:r>
      <w:r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 xml:space="preserve"> aparatului de specialitate al Consiliului Județean Satu Mare,</w:t>
      </w:r>
    </w:p>
    <w:p w14:paraId="496197D5" w14:textId="77777777" w:rsidR="000F604B" w:rsidRPr="000F604B" w:rsidRDefault="000F604B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3" w:name="_Hlk216174328"/>
      <w:r w:rsidRPr="000F60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luând în considerare:</w:t>
      </w:r>
    </w:p>
    <w:p w14:paraId="400AA1A4" w14:textId="52B66F6B" w:rsidR="000F604B" w:rsidRPr="00034C0C" w:rsidRDefault="000F604B" w:rsidP="008B1169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F60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ab/>
      </w:r>
      <w:r w:rsidRPr="00034C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- Raportul final al examenului de promovare în gradul profesional imediat superior celui deținut a funcționarilor publici de execuție nr. </w:t>
      </w:r>
      <w:r w:rsidR="00022273" w:rsidRPr="00034C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26318/12.</w:t>
      </w:r>
      <w:r w:rsidRPr="00034C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12.2025;</w:t>
      </w:r>
    </w:p>
    <w:p w14:paraId="72E7F38E" w14:textId="77777777" w:rsidR="000F604B" w:rsidRDefault="000F604B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F60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- </w:t>
      </w:r>
      <w:bookmarkStart w:id="4" w:name="_Hlk216174519"/>
      <w:r w:rsidRPr="000F60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Raportul final al examenului de promovare în grade sau trepte profesionale imediat superioare a personalului contractual de execuție nr. 25915/08.12.2025</w:t>
      </w:r>
      <w:bookmarkEnd w:id="4"/>
      <w:r w:rsidRPr="000F60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643E2CEF" w14:textId="77777777" w:rsidR="00641AC7" w:rsidRPr="00641AC7" w:rsidRDefault="00641AC7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</w:p>
    <w:p w14:paraId="47778CC4" w14:textId="77777777" w:rsidR="000F604B" w:rsidRDefault="000F604B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0F60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raportat la </w:t>
      </w:r>
      <w:r w:rsidRPr="000F604B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Hotărârea Consiliului Județean Satu Mare nr.74/27.06.2025 privind modificarea Statului de funcții al aparatului de specialitate al Consiliului Județean Satu Mare,</w:t>
      </w:r>
    </w:p>
    <w:p w14:paraId="4905DBF7" w14:textId="77777777" w:rsidR="00641AC7" w:rsidRPr="00641AC7" w:rsidRDefault="00641AC7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16"/>
          <w:szCs w:val="16"/>
          <w14:ligatures w14:val="none"/>
        </w:rPr>
      </w:pPr>
    </w:p>
    <w:p w14:paraId="5060108C" w14:textId="77777777" w:rsidR="000F604B" w:rsidRPr="000F604B" w:rsidRDefault="000F604B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5" w:name="_Hlk216174640"/>
      <w:r w:rsidRPr="000F60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ținând cont de:</w:t>
      </w:r>
    </w:p>
    <w:p w14:paraId="1067A06E" w14:textId="7A6A0816" w:rsidR="000F604B" w:rsidRPr="000F604B" w:rsidRDefault="000F604B" w:rsidP="008B1169">
      <w:pPr>
        <w:tabs>
          <w:tab w:val="left" w:pos="900"/>
        </w:tabs>
        <w:autoSpaceDE w:val="0"/>
        <w:autoSpaceDN w:val="0"/>
        <w:adjustRightInd w:val="0"/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  <w:r w:rsidRPr="000F60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- </w:t>
      </w:r>
      <w:r w:rsidR="00CC1D7A" w:rsidRPr="00CC1D7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Partea a VI-a Statutul funcționarilor publici, prevederi aplicabile personalului contractual din administrația publică și evidența personalului plătit din fonduri publice, </w:t>
      </w:r>
      <w:r w:rsidRPr="000F604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Titlul II Statutul funcționarilor publici, Capitolul VI - Cariera funcționarilor publici</w:t>
      </w:r>
      <w:r w:rsidRPr="000F60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Secțiunea a 3-a - </w:t>
      </w:r>
      <w:r w:rsidRPr="000F604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Promovarea funcționarilor publici și evaluarea performanțelor profesionale</w:t>
      </w:r>
      <w:r w:rsidR="003D77F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bookmarkStart w:id="6" w:name="_Hlk216256679"/>
      <w:r w:rsidR="003D77F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și Titlu</w:t>
      </w:r>
      <w:r w:rsidR="009A3B8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l</w:t>
      </w:r>
      <w:r w:rsidR="003D77F8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III Personalul contractual din autoritățile și instituțiile publice, Capitolul IV Încadrarea și promovarea personalului contractual</w:t>
      </w:r>
      <w:bookmarkEnd w:id="6"/>
      <w:r w:rsidRPr="000F604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Pr="000F604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din Ordonanța de urgență a Guvernului nr.57/2019 privind Codul administrativ, cu modificările și completările ulterioare</w:t>
      </w:r>
      <w:r w:rsidRPr="000F604B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,</w:t>
      </w:r>
    </w:p>
    <w:p w14:paraId="72826011" w14:textId="77777777" w:rsidR="000F604B" w:rsidRPr="000F604B" w:rsidRDefault="000F604B" w:rsidP="008B1169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0F604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086A6F8B" w14:textId="77777777" w:rsidR="000F604B" w:rsidRDefault="000F604B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0F604B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- Legea cadru nr.153/2017 privind salarizarea personalului plătit din fonduri publice, cu modificările și completările ulterioare;</w:t>
      </w:r>
    </w:p>
    <w:p w14:paraId="01A5BE29" w14:textId="77777777" w:rsidR="00641AC7" w:rsidRPr="00641AC7" w:rsidRDefault="00641AC7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</w:p>
    <w:bookmarkEnd w:id="3"/>
    <w:bookmarkEnd w:id="5"/>
    <w:p w14:paraId="197CCBA9" w14:textId="5CEF443E" w:rsidR="00852051" w:rsidRPr="00034C0C" w:rsidRDefault="00F87D7C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Au avut loc examene de promovare. 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Pentru </w:t>
      </w:r>
      <w:r w:rsidR="00CA7ACC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susținerea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examenului de promovare s-au înscris </w:t>
      </w:r>
      <w:r w:rsidR="00852051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886F88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funcționari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publici, s-au prezentat pentru </w:t>
      </w:r>
      <w:r w:rsidR="007E601A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susținerea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probelor scris </w:t>
      </w:r>
      <w:r w:rsidR="004945E8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și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interviu pe care le-au </w:t>
      </w:r>
      <w:r w:rsidR="004945E8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și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promovat, potrivit Raportului final al examenului de promovare în grad profesional superior celui deținut a </w:t>
      </w:r>
      <w:bookmarkStart w:id="7" w:name="_Hlk216173195"/>
      <w:r w:rsidR="00852051" w:rsidRPr="00034C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funcționarilor publici de execuție</w:t>
      </w:r>
      <w:bookmarkEnd w:id="7"/>
      <w:r w:rsidR="00852051" w:rsidRPr="00034C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nr. </w:t>
      </w:r>
      <w:r w:rsidR="00022273" w:rsidRPr="00034C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26318</w:t>
      </w:r>
      <w:r w:rsidR="00852051" w:rsidRPr="00034C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/</w:t>
      </w:r>
      <w:r w:rsidR="00FD1369" w:rsidRPr="00034C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12</w:t>
      </w:r>
      <w:r w:rsidR="00852051" w:rsidRPr="00034C0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.12.2025.</w:t>
      </w:r>
    </w:p>
    <w:p w14:paraId="639DCF3C" w14:textId="1EE509AB" w:rsidR="00852051" w:rsidRDefault="004945E8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Ținând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cont de faptul că promovarea în grad profesional superior celui deținut anterior de funcționarii publici de execuție nu presupune </w:t>
      </w:r>
      <w:r w:rsidR="00E73A3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existența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unui post vacant ci se realizează prin transformarea postului 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ocupat de </w:t>
      </w:r>
      <w:r w:rsidR="00E73A31" w:rsidRPr="00852051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funcționarul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public ca urmare a promovării examenului, potrivit art.476 alin.(1), alin.(2) lit.</w:t>
      </w:r>
      <w:r w:rsidR="00BB3D5F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a), art.477 alin.(1), art.478 alin.(1), alin.(2) 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din </w:t>
      </w:r>
      <w:r w:rsidR="00852051" w:rsidRPr="00852051">
        <w:rPr>
          <w:rFonts w:ascii="Times New Roman" w:eastAsia="Times New Roman" w:hAnsi="Times New Roman" w:cs="Times New Roman"/>
          <w:bCs/>
          <w:kern w:val="0"/>
          <w:sz w:val="24"/>
          <w:szCs w:val="24"/>
          <w:shd w:val="clear" w:color="auto" w:fill="FFFFFF"/>
          <w14:ligatures w14:val="none"/>
        </w:rPr>
        <w:t>Ordonanța de urgență a Guvernului nr.57/2019 privind Codul administrativ</w:t>
      </w:r>
      <w:r w:rsidR="0085205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6C70FC05" w14:textId="77777777" w:rsidR="00CC1D7A" w:rsidRPr="00641AC7" w:rsidRDefault="00CC1D7A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</w:p>
    <w:p w14:paraId="4EAE0410" w14:textId="32CFB284" w:rsidR="00852051" w:rsidRPr="00852051" w:rsidRDefault="00852051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Statul de </w:t>
      </w:r>
      <w:r w:rsidR="00E73A31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funcții</w:t>
      </w:r>
      <w:r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al aparatului </w:t>
      </w:r>
      <w:r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 specialitate</w:t>
      </w:r>
      <w:r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al </w:t>
      </w:r>
      <w:r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Consiliului Județean Satu Mare</w:t>
      </w:r>
      <w:r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se va modifica prin transformarea următoarelor </w:t>
      </w:r>
      <w:r w:rsidR="00BB3D5F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funcții</w:t>
      </w:r>
      <w:r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publice de </w:t>
      </w:r>
      <w:r w:rsidR="00BB3D5F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execuție</w:t>
      </w:r>
      <w:r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43DAF146" w14:textId="77777777" w:rsidR="00852051" w:rsidRPr="004945E8" w:rsidRDefault="00852051" w:rsidP="008B1169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</w:p>
    <w:tbl>
      <w:tblPr>
        <w:tblStyle w:val="TableGrid1"/>
        <w:tblW w:w="10075" w:type="dxa"/>
        <w:tblLook w:val="04A0" w:firstRow="1" w:lastRow="0" w:firstColumn="1" w:lastColumn="0" w:noHBand="0" w:noVBand="1"/>
      </w:tblPr>
      <w:tblGrid>
        <w:gridCol w:w="715"/>
        <w:gridCol w:w="1440"/>
        <w:gridCol w:w="2610"/>
        <w:gridCol w:w="2700"/>
        <w:gridCol w:w="2610"/>
      </w:tblGrid>
      <w:tr w:rsidR="00852051" w:rsidRPr="00852051" w14:paraId="6CA5E284" w14:textId="77777777" w:rsidTr="003C7AEF">
        <w:tc>
          <w:tcPr>
            <w:tcW w:w="715" w:type="dxa"/>
          </w:tcPr>
          <w:p w14:paraId="1C25114D" w14:textId="77777777" w:rsidR="00852051" w:rsidRPr="00852051" w:rsidRDefault="00852051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52051">
              <w:rPr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1440" w:type="dxa"/>
          </w:tcPr>
          <w:p w14:paraId="55158439" w14:textId="606E951B" w:rsidR="00852051" w:rsidRPr="00852051" w:rsidRDefault="00852051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52051">
              <w:rPr>
                <w:b/>
                <w:bCs/>
                <w:sz w:val="24"/>
                <w:szCs w:val="24"/>
              </w:rPr>
              <w:t>Poz</w:t>
            </w:r>
            <w:r w:rsidR="003C7AEF" w:rsidRPr="004945E8">
              <w:rPr>
                <w:b/>
                <w:bCs/>
                <w:sz w:val="24"/>
                <w:szCs w:val="24"/>
              </w:rPr>
              <w:t>iția</w:t>
            </w:r>
            <w:r w:rsidRPr="00852051">
              <w:rPr>
                <w:b/>
                <w:bCs/>
                <w:sz w:val="24"/>
                <w:szCs w:val="24"/>
              </w:rPr>
              <w:t xml:space="preserve"> în stat funcții</w:t>
            </w:r>
          </w:p>
        </w:tc>
        <w:tc>
          <w:tcPr>
            <w:tcW w:w="2610" w:type="dxa"/>
          </w:tcPr>
          <w:p w14:paraId="357E62F6" w14:textId="375BFF08" w:rsidR="00852051" w:rsidRPr="00852051" w:rsidRDefault="00852051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52051">
              <w:rPr>
                <w:b/>
                <w:bCs/>
                <w:sz w:val="24"/>
                <w:szCs w:val="24"/>
              </w:rPr>
              <w:t>Funcția publică deținută</w:t>
            </w:r>
          </w:p>
        </w:tc>
        <w:tc>
          <w:tcPr>
            <w:tcW w:w="2700" w:type="dxa"/>
          </w:tcPr>
          <w:p w14:paraId="4CA7528E" w14:textId="1433ABF1" w:rsidR="00852051" w:rsidRPr="00852051" w:rsidRDefault="00852051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945E8">
              <w:rPr>
                <w:b/>
                <w:bCs/>
                <w:sz w:val="24"/>
                <w:szCs w:val="24"/>
              </w:rPr>
              <w:t>Modificarea propusa</w:t>
            </w:r>
          </w:p>
        </w:tc>
        <w:tc>
          <w:tcPr>
            <w:tcW w:w="2610" w:type="dxa"/>
          </w:tcPr>
          <w:p w14:paraId="4A16ED99" w14:textId="77777777" w:rsidR="00852051" w:rsidRPr="00852051" w:rsidRDefault="00852051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52051">
              <w:rPr>
                <w:b/>
                <w:bCs/>
                <w:sz w:val="24"/>
                <w:szCs w:val="24"/>
              </w:rPr>
              <w:t>Funcția publică după promovare</w:t>
            </w:r>
          </w:p>
        </w:tc>
      </w:tr>
      <w:tr w:rsidR="00852051" w:rsidRPr="004945E8" w14:paraId="5202DE32" w14:textId="77777777" w:rsidTr="003C7AEF">
        <w:tc>
          <w:tcPr>
            <w:tcW w:w="715" w:type="dxa"/>
          </w:tcPr>
          <w:p w14:paraId="26D8F77A" w14:textId="6B5B7AE2" w:rsidR="00852051" w:rsidRPr="004945E8" w:rsidRDefault="00852051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1.</w:t>
            </w:r>
          </w:p>
        </w:tc>
        <w:tc>
          <w:tcPr>
            <w:tcW w:w="1440" w:type="dxa"/>
          </w:tcPr>
          <w:p w14:paraId="6C9AD3DE" w14:textId="48E9BE3D" w:rsidR="00852051" w:rsidRPr="004945E8" w:rsidRDefault="00852051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24</w:t>
            </w:r>
          </w:p>
        </w:tc>
        <w:tc>
          <w:tcPr>
            <w:tcW w:w="2610" w:type="dxa"/>
          </w:tcPr>
          <w:p w14:paraId="0ABECF9B" w14:textId="01F8F387" w:rsidR="00852051" w:rsidRPr="004945E8" w:rsidRDefault="00852051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consilier asistent</w:t>
            </w:r>
            <w:r w:rsidR="00570F25">
              <w:rPr>
                <w:sz w:val="24"/>
                <w:szCs w:val="24"/>
              </w:rPr>
              <w:t xml:space="preserve"> (S)</w:t>
            </w:r>
          </w:p>
        </w:tc>
        <w:tc>
          <w:tcPr>
            <w:tcW w:w="2700" w:type="dxa"/>
          </w:tcPr>
          <w:p w14:paraId="6975A496" w14:textId="5CC6B140" w:rsidR="00852051" w:rsidRPr="004945E8" w:rsidRDefault="00886F88" w:rsidP="008B1169">
            <w:pPr>
              <w:pStyle w:val="BodyText3"/>
              <w:spacing w:after="0" w:line="27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ro-RO"/>
              </w:rPr>
            </w:pPr>
            <w:r w:rsidRPr="004945E8">
              <w:rPr>
                <w:rFonts w:eastAsia="Calibri"/>
                <w:bCs/>
                <w:sz w:val="24"/>
                <w:szCs w:val="24"/>
                <w:lang w:val="ro-RO"/>
              </w:rPr>
              <w:t>t</w:t>
            </w:r>
            <w:r w:rsidR="00852051" w:rsidRPr="004945E8">
              <w:rPr>
                <w:rFonts w:eastAsia="Calibri"/>
                <w:bCs/>
                <w:sz w:val="24"/>
                <w:szCs w:val="24"/>
                <w:lang w:val="ro-RO"/>
              </w:rPr>
              <w:t>ransformare post</w:t>
            </w:r>
          </w:p>
          <w:p w14:paraId="552F2CC6" w14:textId="6137F897" w:rsidR="00852051" w:rsidRPr="004945E8" w:rsidRDefault="00852051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945E8">
              <w:rPr>
                <w:rFonts w:eastAsia="Calibri"/>
                <w:bCs/>
                <w:sz w:val="24"/>
                <w:szCs w:val="24"/>
              </w:rPr>
              <w:t xml:space="preserve"> prin promovare</w:t>
            </w:r>
          </w:p>
        </w:tc>
        <w:tc>
          <w:tcPr>
            <w:tcW w:w="2610" w:type="dxa"/>
          </w:tcPr>
          <w:p w14:paraId="0DD57C01" w14:textId="26D8E9FD" w:rsidR="00852051" w:rsidRPr="004945E8" w:rsidRDefault="00852051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consilier principal</w:t>
            </w:r>
            <w:r w:rsidR="00570F25">
              <w:rPr>
                <w:sz w:val="24"/>
                <w:szCs w:val="24"/>
              </w:rPr>
              <w:t xml:space="preserve"> (S)</w:t>
            </w:r>
          </w:p>
        </w:tc>
      </w:tr>
      <w:tr w:rsidR="00886F88" w:rsidRPr="004945E8" w14:paraId="2A02B8FF" w14:textId="77777777" w:rsidTr="003C7AEF">
        <w:tc>
          <w:tcPr>
            <w:tcW w:w="715" w:type="dxa"/>
          </w:tcPr>
          <w:p w14:paraId="3354A93E" w14:textId="550F58A0" w:rsidR="00886F88" w:rsidRPr="004945E8" w:rsidRDefault="00886F88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2.</w:t>
            </w:r>
          </w:p>
        </w:tc>
        <w:tc>
          <w:tcPr>
            <w:tcW w:w="1440" w:type="dxa"/>
          </w:tcPr>
          <w:p w14:paraId="51ED7522" w14:textId="0896F6BB" w:rsidR="00886F88" w:rsidRPr="004945E8" w:rsidRDefault="00886F88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155</w:t>
            </w:r>
          </w:p>
        </w:tc>
        <w:tc>
          <w:tcPr>
            <w:tcW w:w="2610" w:type="dxa"/>
          </w:tcPr>
          <w:p w14:paraId="1DB36961" w14:textId="51DCBAF6" w:rsidR="00886F88" w:rsidRPr="004945E8" w:rsidRDefault="00886F88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consilier principal</w:t>
            </w:r>
            <w:r w:rsidR="00570F25">
              <w:rPr>
                <w:sz w:val="24"/>
                <w:szCs w:val="24"/>
              </w:rPr>
              <w:t xml:space="preserve"> (S)</w:t>
            </w:r>
          </w:p>
        </w:tc>
        <w:tc>
          <w:tcPr>
            <w:tcW w:w="2700" w:type="dxa"/>
          </w:tcPr>
          <w:p w14:paraId="348A3E18" w14:textId="77777777" w:rsidR="00886F88" w:rsidRPr="004945E8" w:rsidRDefault="00886F88" w:rsidP="008B1169">
            <w:pPr>
              <w:pStyle w:val="BodyText3"/>
              <w:spacing w:after="0" w:line="27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ro-RO"/>
              </w:rPr>
            </w:pPr>
            <w:r w:rsidRPr="004945E8">
              <w:rPr>
                <w:rFonts w:eastAsia="Calibri"/>
                <w:bCs/>
                <w:sz w:val="24"/>
                <w:szCs w:val="24"/>
                <w:lang w:val="ro-RO"/>
              </w:rPr>
              <w:t>transformare post</w:t>
            </w:r>
          </w:p>
          <w:p w14:paraId="06DE616B" w14:textId="367CEBBF" w:rsidR="00886F88" w:rsidRPr="004945E8" w:rsidRDefault="00886F88" w:rsidP="008B1169">
            <w:pPr>
              <w:pStyle w:val="BodyText3"/>
              <w:spacing w:after="0" w:line="27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ro-RO"/>
              </w:rPr>
            </w:pPr>
            <w:r w:rsidRPr="004945E8">
              <w:rPr>
                <w:rFonts w:eastAsia="Calibri"/>
                <w:bCs/>
                <w:sz w:val="24"/>
                <w:szCs w:val="24"/>
                <w:lang w:val="ro-RO"/>
              </w:rPr>
              <w:t xml:space="preserve"> prin promovare</w:t>
            </w:r>
          </w:p>
        </w:tc>
        <w:tc>
          <w:tcPr>
            <w:tcW w:w="2610" w:type="dxa"/>
          </w:tcPr>
          <w:p w14:paraId="1C4BFBAC" w14:textId="189352AC" w:rsidR="00886F88" w:rsidRPr="004945E8" w:rsidRDefault="00886F88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consilier superior</w:t>
            </w:r>
            <w:r w:rsidR="00570F25">
              <w:rPr>
                <w:sz w:val="24"/>
                <w:szCs w:val="24"/>
              </w:rPr>
              <w:t xml:space="preserve"> (S)</w:t>
            </w:r>
          </w:p>
        </w:tc>
      </w:tr>
      <w:tr w:rsidR="00886F88" w:rsidRPr="004945E8" w14:paraId="05F23E2E" w14:textId="77777777" w:rsidTr="003C7AEF">
        <w:tc>
          <w:tcPr>
            <w:tcW w:w="715" w:type="dxa"/>
          </w:tcPr>
          <w:p w14:paraId="5C492E18" w14:textId="692E9284" w:rsidR="00886F88" w:rsidRPr="004945E8" w:rsidRDefault="00886F88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3.</w:t>
            </w:r>
          </w:p>
        </w:tc>
        <w:tc>
          <w:tcPr>
            <w:tcW w:w="1440" w:type="dxa"/>
          </w:tcPr>
          <w:p w14:paraId="7E7A2F39" w14:textId="1E842DF4" w:rsidR="00886F88" w:rsidRPr="004945E8" w:rsidRDefault="00886F88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207</w:t>
            </w:r>
          </w:p>
        </w:tc>
        <w:tc>
          <w:tcPr>
            <w:tcW w:w="2610" w:type="dxa"/>
          </w:tcPr>
          <w:p w14:paraId="30729C1D" w14:textId="0ADAB137" w:rsidR="00886F88" w:rsidRPr="004945E8" w:rsidRDefault="00886F88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consilier principal</w:t>
            </w:r>
            <w:r w:rsidR="00570F25">
              <w:rPr>
                <w:sz w:val="24"/>
                <w:szCs w:val="24"/>
              </w:rPr>
              <w:t xml:space="preserve"> (S)</w:t>
            </w:r>
          </w:p>
        </w:tc>
        <w:tc>
          <w:tcPr>
            <w:tcW w:w="2700" w:type="dxa"/>
          </w:tcPr>
          <w:p w14:paraId="39481845" w14:textId="77777777" w:rsidR="00886F88" w:rsidRPr="004945E8" w:rsidRDefault="00886F88" w:rsidP="008B1169">
            <w:pPr>
              <w:pStyle w:val="BodyText3"/>
              <w:spacing w:after="0" w:line="27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ro-RO"/>
              </w:rPr>
            </w:pPr>
            <w:r w:rsidRPr="004945E8">
              <w:rPr>
                <w:rFonts w:eastAsia="Calibri"/>
                <w:bCs/>
                <w:sz w:val="24"/>
                <w:szCs w:val="24"/>
                <w:lang w:val="ro-RO"/>
              </w:rPr>
              <w:t>transformare post</w:t>
            </w:r>
          </w:p>
          <w:p w14:paraId="37DBC87F" w14:textId="1DD7D354" w:rsidR="00886F88" w:rsidRPr="004945E8" w:rsidRDefault="00886F88" w:rsidP="008B1169">
            <w:pPr>
              <w:pStyle w:val="BodyText3"/>
              <w:spacing w:after="0" w:line="27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ro-RO"/>
              </w:rPr>
            </w:pPr>
            <w:r w:rsidRPr="004945E8">
              <w:rPr>
                <w:rFonts w:eastAsia="Calibri"/>
                <w:bCs/>
                <w:sz w:val="24"/>
                <w:szCs w:val="24"/>
                <w:lang w:val="ro-RO"/>
              </w:rPr>
              <w:t xml:space="preserve"> prin promovare</w:t>
            </w:r>
          </w:p>
        </w:tc>
        <w:tc>
          <w:tcPr>
            <w:tcW w:w="2610" w:type="dxa"/>
          </w:tcPr>
          <w:p w14:paraId="05A78050" w14:textId="4A8D82AB" w:rsidR="00886F88" w:rsidRPr="004945E8" w:rsidRDefault="00886F88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consilier superior</w:t>
            </w:r>
            <w:r w:rsidR="00570F25">
              <w:rPr>
                <w:sz w:val="24"/>
                <w:szCs w:val="24"/>
              </w:rPr>
              <w:t xml:space="preserve"> (S)</w:t>
            </w:r>
          </w:p>
        </w:tc>
      </w:tr>
    </w:tbl>
    <w:p w14:paraId="599B0D4F" w14:textId="77777777" w:rsidR="00852051" w:rsidRPr="008B1169" w:rsidRDefault="00852051" w:rsidP="008B1169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</w:p>
    <w:p w14:paraId="3537331B" w14:textId="5C81E450" w:rsidR="00886F88" w:rsidRPr="00886F88" w:rsidRDefault="00886F88" w:rsidP="008B1169">
      <w:pPr>
        <w:spacing w:after="0" w:line="276" w:lineRule="auto"/>
        <w:ind w:right="-227"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6F88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Potrivit </w:t>
      </w:r>
      <w:r w:rsidRPr="00886F8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Hotărârii Guvernului nr. 1336/2022 pentru aprobarea Regulamentului – cadru privind organizarea și dezvoltarea carierei personalului contractual din sectorul bugetar plătit din fonduri publice, promovarea în grade sau trepte profesionale imediat superioare a personalului contractual, se face de regulă pe un post vacant, iar, în situația în care nu există un asemenea post, se face prin transformarea postului </w:t>
      </w:r>
      <w:r w:rsidRPr="00886F88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din statul de funcții în care acesta este încadrat în</w:t>
      </w:r>
      <w:r w:rsidR="00E44EC1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 xml:space="preserve"> </w:t>
      </w:r>
      <w:r w:rsidRPr="00886F88">
        <w:rPr>
          <w:rFonts w:ascii="Times New Roman" w:eastAsia="Times New Roman" w:hAnsi="Times New Roman" w:cs="Times New Roman"/>
          <w:kern w:val="0"/>
          <w:sz w:val="24"/>
          <w:szCs w:val="24"/>
          <w:lang w:eastAsia="ro-RO"/>
          <w14:ligatures w14:val="none"/>
        </w:rPr>
        <w:t>unul de nivel imediat superior.</w:t>
      </w:r>
    </w:p>
    <w:p w14:paraId="5E857928" w14:textId="74C914A4" w:rsidR="003C7AEF" w:rsidRPr="004945E8" w:rsidRDefault="003C7AEF" w:rsidP="008B1169">
      <w:pPr>
        <w:spacing w:after="0" w:line="276" w:lineRule="auto"/>
        <w:ind w:right="-227"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C7A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Pentru susținerea examenului de promovare</w:t>
      </w:r>
      <w:r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C7A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s-a </w:t>
      </w:r>
      <w:r w:rsidR="00B624A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î</w:t>
      </w:r>
      <w:r w:rsidRPr="003C7A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nscris </w:t>
      </w:r>
      <w:r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</w:t>
      </w:r>
      <w:r w:rsidRPr="003C7A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</w:t>
      </w:r>
      <w:r w:rsidR="00B624A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</w:t>
      </w:r>
      <w:r w:rsidRPr="003C7A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gajat</w:t>
      </w:r>
      <w:r w:rsidR="00B624A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și </w:t>
      </w:r>
      <w:r w:rsidRPr="003C7A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în data de 0</w:t>
      </w:r>
      <w:r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</w:t>
      </w:r>
      <w:r w:rsidRPr="003C7A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.12.202</w:t>
      </w:r>
      <w:r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Pr="003C7A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624A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 susținut proba scrisă, probă promovată potrivit</w:t>
      </w:r>
      <w:r w:rsidR="00B624A7" w:rsidRPr="003C7A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Raportului final al examenului de promovare în grade sau trepte profesionale imediat superio</w:t>
      </w:r>
      <w:r w:rsidR="00B624A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</w:t>
      </w:r>
      <w:r w:rsidR="00B624A7" w:rsidRPr="003C7AE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 a personalului contractual</w:t>
      </w:r>
      <w:r w:rsidR="00B624A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A6220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 execuție</w:t>
      </w:r>
      <w:r w:rsidR="00B624A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nr. 25915/08.12.2025.</w:t>
      </w:r>
    </w:p>
    <w:p w14:paraId="6A44804E" w14:textId="6EA8CECC" w:rsidR="00B624A7" w:rsidRPr="00852051" w:rsidRDefault="0038535E" w:rsidP="008B1169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Astfel </w:t>
      </w:r>
      <w:r w:rsidR="00B624A7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Statul de </w:t>
      </w:r>
      <w:r w:rsidR="000801AF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funcții</w:t>
      </w:r>
      <w:r w:rsidR="00B624A7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al aparatului </w:t>
      </w:r>
      <w:r w:rsidR="00B624A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 specialitate</w:t>
      </w:r>
      <w:r w:rsidR="00B624A7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al </w:t>
      </w:r>
      <w:r w:rsidR="00B624A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Consiliului Județean Satu Mare</w:t>
      </w:r>
      <w:r w:rsidR="00B624A7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se va modifica prin transformarea următo</w:t>
      </w:r>
      <w:r w:rsidR="009466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arei</w:t>
      </w:r>
      <w:r w:rsidR="00B624A7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801AF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funcții</w:t>
      </w:r>
      <w:r w:rsidR="00B624A7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624A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contractuale</w:t>
      </w:r>
      <w:r w:rsidR="00B624A7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</w:t>
      </w:r>
      <w:r w:rsidR="000801AF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execuție</w:t>
      </w:r>
      <w:r w:rsidR="00B624A7" w:rsidRPr="0085205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:</w:t>
      </w:r>
    </w:p>
    <w:p w14:paraId="01887030" w14:textId="77777777" w:rsidR="00B624A7" w:rsidRPr="004945E8" w:rsidRDefault="00B624A7" w:rsidP="008B1169">
      <w:pPr>
        <w:spacing w:after="0" w:line="276" w:lineRule="auto"/>
        <w:ind w:left="-284" w:right="-227" w:firstLine="720"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</w:p>
    <w:tbl>
      <w:tblPr>
        <w:tblStyle w:val="TableGrid1"/>
        <w:tblW w:w="10075" w:type="dxa"/>
        <w:tblLook w:val="04A0" w:firstRow="1" w:lastRow="0" w:firstColumn="1" w:lastColumn="0" w:noHBand="0" w:noVBand="1"/>
      </w:tblPr>
      <w:tblGrid>
        <w:gridCol w:w="715"/>
        <w:gridCol w:w="1440"/>
        <w:gridCol w:w="2610"/>
        <w:gridCol w:w="2700"/>
        <w:gridCol w:w="2610"/>
      </w:tblGrid>
      <w:tr w:rsidR="00B624A7" w:rsidRPr="004945E8" w14:paraId="2CB6143D" w14:textId="77777777" w:rsidTr="00684920">
        <w:tc>
          <w:tcPr>
            <w:tcW w:w="715" w:type="dxa"/>
          </w:tcPr>
          <w:p w14:paraId="7A48E912" w14:textId="77777777" w:rsidR="00B624A7" w:rsidRPr="00852051" w:rsidRDefault="00B624A7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52051">
              <w:rPr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1440" w:type="dxa"/>
          </w:tcPr>
          <w:p w14:paraId="5A2251E5" w14:textId="77777777" w:rsidR="00B624A7" w:rsidRPr="00852051" w:rsidRDefault="00B624A7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52051">
              <w:rPr>
                <w:b/>
                <w:bCs/>
                <w:sz w:val="24"/>
                <w:szCs w:val="24"/>
              </w:rPr>
              <w:t>Poz</w:t>
            </w:r>
            <w:r w:rsidRPr="004945E8">
              <w:rPr>
                <w:b/>
                <w:bCs/>
                <w:sz w:val="24"/>
                <w:szCs w:val="24"/>
              </w:rPr>
              <w:t>iția</w:t>
            </w:r>
            <w:r w:rsidRPr="00852051">
              <w:rPr>
                <w:b/>
                <w:bCs/>
                <w:sz w:val="24"/>
                <w:szCs w:val="24"/>
              </w:rPr>
              <w:t xml:space="preserve"> în stat funcții</w:t>
            </w:r>
          </w:p>
        </w:tc>
        <w:tc>
          <w:tcPr>
            <w:tcW w:w="2610" w:type="dxa"/>
          </w:tcPr>
          <w:p w14:paraId="71ACAFDB" w14:textId="4649E236" w:rsidR="00B624A7" w:rsidRPr="00852051" w:rsidRDefault="00B624A7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52051">
              <w:rPr>
                <w:b/>
                <w:bCs/>
                <w:sz w:val="24"/>
                <w:szCs w:val="24"/>
              </w:rPr>
              <w:t>Funcția</w:t>
            </w:r>
            <w:r w:rsidRPr="004945E8">
              <w:rPr>
                <w:b/>
                <w:bCs/>
                <w:sz w:val="24"/>
                <w:szCs w:val="24"/>
              </w:rPr>
              <w:t xml:space="preserve"> contractuală</w:t>
            </w:r>
            <w:r w:rsidRPr="00852051">
              <w:rPr>
                <w:b/>
                <w:bCs/>
                <w:sz w:val="24"/>
                <w:szCs w:val="24"/>
              </w:rPr>
              <w:t xml:space="preserve"> deținută</w:t>
            </w:r>
          </w:p>
        </w:tc>
        <w:tc>
          <w:tcPr>
            <w:tcW w:w="2700" w:type="dxa"/>
          </w:tcPr>
          <w:p w14:paraId="08E35375" w14:textId="77777777" w:rsidR="00B624A7" w:rsidRPr="00852051" w:rsidRDefault="00B624A7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945E8">
              <w:rPr>
                <w:b/>
                <w:bCs/>
                <w:sz w:val="24"/>
                <w:szCs w:val="24"/>
              </w:rPr>
              <w:t>Modificarea propusa</w:t>
            </w:r>
          </w:p>
        </w:tc>
        <w:tc>
          <w:tcPr>
            <w:tcW w:w="2610" w:type="dxa"/>
          </w:tcPr>
          <w:p w14:paraId="14055C64" w14:textId="37417EEF" w:rsidR="00B624A7" w:rsidRPr="00852051" w:rsidRDefault="00B624A7" w:rsidP="008B116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852051">
              <w:rPr>
                <w:b/>
                <w:bCs/>
                <w:sz w:val="24"/>
                <w:szCs w:val="24"/>
              </w:rPr>
              <w:t xml:space="preserve">Funcția </w:t>
            </w:r>
            <w:r w:rsidRPr="004945E8">
              <w:rPr>
                <w:b/>
                <w:bCs/>
                <w:sz w:val="24"/>
                <w:szCs w:val="24"/>
              </w:rPr>
              <w:t>contractuală</w:t>
            </w:r>
            <w:r w:rsidRPr="00852051">
              <w:rPr>
                <w:b/>
                <w:bCs/>
                <w:sz w:val="24"/>
                <w:szCs w:val="24"/>
              </w:rPr>
              <w:t xml:space="preserve"> după promovare</w:t>
            </w:r>
          </w:p>
        </w:tc>
      </w:tr>
      <w:tr w:rsidR="00B624A7" w:rsidRPr="004945E8" w14:paraId="2CB1A5C1" w14:textId="77777777" w:rsidTr="00684920">
        <w:tc>
          <w:tcPr>
            <w:tcW w:w="715" w:type="dxa"/>
          </w:tcPr>
          <w:p w14:paraId="4672347D" w14:textId="3D06BB3D" w:rsidR="00B624A7" w:rsidRPr="004945E8" w:rsidRDefault="00B624A7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1.</w:t>
            </w:r>
          </w:p>
        </w:tc>
        <w:tc>
          <w:tcPr>
            <w:tcW w:w="1440" w:type="dxa"/>
          </w:tcPr>
          <w:p w14:paraId="26546DA3" w14:textId="7DCB2C92" w:rsidR="00B624A7" w:rsidRPr="004945E8" w:rsidRDefault="00B624A7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203</w:t>
            </w:r>
          </w:p>
        </w:tc>
        <w:tc>
          <w:tcPr>
            <w:tcW w:w="2610" w:type="dxa"/>
          </w:tcPr>
          <w:p w14:paraId="0FFED1F8" w14:textId="76AF267B" w:rsidR="00B624A7" w:rsidRPr="004945E8" w:rsidRDefault="00B624A7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consilier I</w:t>
            </w:r>
            <w:r w:rsidR="00570F25">
              <w:rPr>
                <w:sz w:val="24"/>
                <w:szCs w:val="24"/>
              </w:rPr>
              <w:t xml:space="preserve"> (S)</w:t>
            </w:r>
          </w:p>
        </w:tc>
        <w:tc>
          <w:tcPr>
            <w:tcW w:w="2700" w:type="dxa"/>
          </w:tcPr>
          <w:p w14:paraId="0707980A" w14:textId="77777777" w:rsidR="00B624A7" w:rsidRPr="004945E8" w:rsidRDefault="00B624A7" w:rsidP="008B1169">
            <w:pPr>
              <w:pStyle w:val="BodyText3"/>
              <w:spacing w:after="0" w:line="276" w:lineRule="auto"/>
              <w:contextualSpacing/>
              <w:jc w:val="center"/>
              <w:rPr>
                <w:rFonts w:eastAsia="Calibri"/>
                <w:bCs/>
                <w:sz w:val="24"/>
                <w:szCs w:val="24"/>
                <w:lang w:val="ro-RO"/>
              </w:rPr>
            </w:pPr>
            <w:r w:rsidRPr="004945E8">
              <w:rPr>
                <w:rFonts w:eastAsia="Calibri"/>
                <w:bCs/>
                <w:sz w:val="24"/>
                <w:szCs w:val="24"/>
                <w:lang w:val="ro-RO"/>
              </w:rPr>
              <w:t>transformare post</w:t>
            </w:r>
          </w:p>
          <w:p w14:paraId="3DC9E312" w14:textId="49605FCB" w:rsidR="00B624A7" w:rsidRPr="004945E8" w:rsidRDefault="00B624A7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rFonts w:eastAsia="Calibri"/>
                <w:bCs/>
                <w:sz w:val="24"/>
                <w:szCs w:val="24"/>
              </w:rPr>
              <w:t xml:space="preserve"> prin promovare</w:t>
            </w:r>
          </w:p>
        </w:tc>
        <w:tc>
          <w:tcPr>
            <w:tcW w:w="2610" w:type="dxa"/>
          </w:tcPr>
          <w:p w14:paraId="05190A6D" w14:textId="56FE8C02" w:rsidR="00B624A7" w:rsidRPr="004945E8" w:rsidRDefault="00B624A7" w:rsidP="008B116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4945E8">
              <w:rPr>
                <w:sz w:val="24"/>
                <w:szCs w:val="24"/>
              </w:rPr>
              <w:t>consilier IA</w:t>
            </w:r>
            <w:r w:rsidR="00570F25">
              <w:rPr>
                <w:sz w:val="24"/>
                <w:szCs w:val="24"/>
              </w:rPr>
              <w:t xml:space="preserve"> (S)</w:t>
            </w:r>
          </w:p>
        </w:tc>
      </w:tr>
    </w:tbl>
    <w:p w14:paraId="78A1D3D9" w14:textId="77777777" w:rsidR="00852051" w:rsidRPr="004945E8" w:rsidRDefault="00852051" w:rsidP="008B1169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</w:pPr>
    </w:p>
    <w:p w14:paraId="63602EDF" w14:textId="655F03A3" w:rsidR="00020106" w:rsidRPr="004945E8" w:rsidRDefault="00A67857" w:rsidP="008B1169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8" w:name="_Hlk152846067"/>
      <w:bookmarkEnd w:id="2"/>
      <w:r w:rsidRPr="004945E8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</w:t>
      </w:r>
      <w:r w:rsidR="00020106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entru motivele și considerentele mai sus arătate </w:t>
      </w:r>
      <w:r w:rsidR="0033401C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este necesară modificarea </w:t>
      </w:r>
      <w:r w:rsidR="00020106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Statul</w:t>
      </w:r>
      <w:r w:rsidR="0033401C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ui</w:t>
      </w:r>
      <w:r w:rsidR="00020106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funcții al</w:t>
      </w:r>
      <w:r w:rsidR="00243337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020106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aparatului de specialitate al Consiliului Județean Satu Mare</w:t>
      </w:r>
      <w:r w:rsidR="0033401C"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bookmarkEnd w:id="8"/>
    <w:p w14:paraId="3FAC45DF" w14:textId="7F736BCA" w:rsidR="0033401C" w:rsidRPr="004945E8" w:rsidRDefault="00BF2E32" w:rsidP="008B116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945E8">
        <w:rPr>
          <w:rFonts w:ascii="Times New Roman" w:hAnsi="Times New Roman" w:cs="Times New Roman"/>
          <w:iCs/>
          <w:sz w:val="24"/>
          <w:szCs w:val="24"/>
        </w:rPr>
        <w:t>În temeiul prevederilor art. 182 alin. (4) cu trimitere la cele ale art. 136 alin. (8) lit.</w:t>
      </w:r>
      <w:r w:rsidR="00BC3585" w:rsidRPr="004945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945E8">
        <w:rPr>
          <w:rFonts w:ascii="Times New Roman" w:hAnsi="Times New Roman" w:cs="Times New Roman"/>
          <w:iCs/>
          <w:sz w:val="24"/>
          <w:szCs w:val="24"/>
        </w:rPr>
        <w:t>b) și alin. (10) din Ordonanța de urgență a Guvernului nr. 57/2019 privind Codul administrativ, cu modificările și completările ulterioare</w:t>
      </w:r>
      <w:r w:rsidR="00801011" w:rsidRPr="004945E8">
        <w:rPr>
          <w:rFonts w:ascii="Times New Roman" w:hAnsi="Times New Roman" w:cs="Times New Roman"/>
          <w:iCs/>
          <w:sz w:val="24"/>
          <w:szCs w:val="24"/>
        </w:rPr>
        <w:t>,</w:t>
      </w:r>
    </w:p>
    <w:p w14:paraId="61360FAC" w14:textId="77777777" w:rsidR="00BC3585" w:rsidRPr="00CC1D7A" w:rsidRDefault="00BC3585" w:rsidP="008B1169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iCs/>
          <w:sz w:val="16"/>
          <w:szCs w:val="16"/>
        </w:rPr>
      </w:pPr>
    </w:p>
    <w:p w14:paraId="761BEEB9" w14:textId="4F0153E7" w:rsidR="00020106" w:rsidRPr="004945E8" w:rsidRDefault="00020106" w:rsidP="008B116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PROPUNEM:</w:t>
      </w:r>
    </w:p>
    <w:p w14:paraId="6C00226F" w14:textId="380FABB7" w:rsidR="00C86627" w:rsidRPr="004945E8" w:rsidRDefault="00020106" w:rsidP="008B116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adoptarea Proiectului de hotărâre </w:t>
      </w:r>
      <w:r w:rsidR="00C86627"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privind modificarea Statului de funcții </w:t>
      </w:r>
    </w:p>
    <w:p w14:paraId="5C35DACF" w14:textId="4C3B6BC3" w:rsidR="00C86627" w:rsidRPr="004945E8" w:rsidRDefault="00C86627" w:rsidP="008B116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al aparatului de specialitate al Consiliului Județean Satu Mare</w:t>
      </w:r>
    </w:p>
    <w:p w14:paraId="747BA3A8" w14:textId="191812FD" w:rsidR="002F328E" w:rsidRPr="004945E8" w:rsidRDefault="002F328E" w:rsidP="008B116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49C025F" w14:textId="77777777" w:rsidR="00801011" w:rsidRPr="004945E8" w:rsidRDefault="00801011" w:rsidP="008B1169">
      <w:pPr>
        <w:tabs>
          <w:tab w:val="left" w:pos="5347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B71CA1A" w14:textId="2D4E7C86" w:rsidR="00020106" w:rsidRPr="004945E8" w:rsidRDefault="00020106" w:rsidP="008B1169">
      <w:pPr>
        <w:spacing w:after="0" w:line="276" w:lineRule="auto"/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bCs/>
          <w:spacing w:val="-10"/>
          <w:kern w:val="0"/>
          <w:sz w:val="24"/>
          <w:szCs w:val="24"/>
          <w14:ligatures w14:val="none"/>
        </w:rPr>
        <w:t xml:space="preserve">                         </w:t>
      </w:r>
      <w:r w:rsidRPr="004945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ŞEF SERVICIU,                                             </w:t>
      </w:r>
      <w:r w:rsidR="00FD136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</w:t>
      </w:r>
      <w:r w:rsidRPr="004945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</w:t>
      </w:r>
      <w:r w:rsidRPr="004945E8"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14:ligatures w14:val="none"/>
        </w:rPr>
        <w:t xml:space="preserve">VIZAT JURIDIC, </w:t>
      </w:r>
    </w:p>
    <w:p w14:paraId="776305DC" w14:textId="3C87D939" w:rsidR="00020106" w:rsidRPr="004945E8" w:rsidRDefault="00020106" w:rsidP="008B1169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  <w:r w:rsidRPr="004945E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                         </w:t>
      </w:r>
      <w:proofErr w:type="spellStart"/>
      <w:r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Bîja</w:t>
      </w:r>
      <w:proofErr w:type="spellEnd"/>
      <w:r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Tania                                            </w:t>
      </w:r>
      <w:r w:rsidR="00FD136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</w:t>
      </w:r>
      <w:r w:rsidRPr="004945E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         </w:t>
      </w:r>
      <w:r w:rsidRPr="004945E8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="00AE50BA" w:rsidRPr="004945E8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    </w:t>
      </w:r>
      <w:r w:rsidR="00BC3585" w:rsidRPr="004945E8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>Pop Nicoleta</w:t>
      </w:r>
      <w:r w:rsidRPr="004945E8"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</w:p>
    <w:p w14:paraId="7CE54C64" w14:textId="77777777" w:rsidR="00A23EAA" w:rsidRDefault="00A23EAA" w:rsidP="008B1169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</w:p>
    <w:p w14:paraId="0A47D184" w14:textId="77777777" w:rsidR="00CC1D7A" w:rsidRPr="004945E8" w:rsidRDefault="00CC1D7A" w:rsidP="008B1169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</w:p>
    <w:p w14:paraId="29A761D8" w14:textId="77777777" w:rsidR="00A23EAA" w:rsidRPr="004945E8" w:rsidRDefault="00A23EAA" w:rsidP="008B1169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14:ligatures w14:val="none"/>
        </w:rPr>
      </w:pPr>
    </w:p>
    <w:p w14:paraId="539F6EBF" w14:textId="2E7582B1" w:rsidR="00A23EAA" w:rsidRPr="00CC1D7A" w:rsidRDefault="00BC3585" w:rsidP="008B1169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CC1D7A">
        <w:rPr>
          <w:rFonts w:ascii="Times New Roman" w:hAnsi="Times New Roman" w:cs="Times New Roman"/>
          <w:sz w:val="12"/>
          <w:szCs w:val="12"/>
        </w:rPr>
        <w:t>Red./Tehn. E.S.A. 5ex</w:t>
      </w:r>
    </w:p>
    <w:sectPr w:rsidR="00A23EAA" w:rsidRPr="00CC1D7A" w:rsidSect="002041C8">
      <w:footerReference w:type="default" r:id="rId8"/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B094C" w14:textId="77777777" w:rsidR="00910EA8" w:rsidRPr="00886F88" w:rsidRDefault="00910EA8" w:rsidP="008669A8">
      <w:pPr>
        <w:spacing w:after="0" w:line="240" w:lineRule="auto"/>
      </w:pPr>
      <w:r w:rsidRPr="00886F88">
        <w:separator/>
      </w:r>
    </w:p>
  </w:endnote>
  <w:endnote w:type="continuationSeparator" w:id="0">
    <w:p w14:paraId="5620CD32" w14:textId="77777777" w:rsidR="00910EA8" w:rsidRPr="00886F88" w:rsidRDefault="00910EA8" w:rsidP="008669A8">
      <w:pPr>
        <w:spacing w:after="0" w:line="240" w:lineRule="auto"/>
      </w:pPr>
      <w:r w:rsidRPr="00886F8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BC66D" w14:textId="7B0493FE" w:rsidR="008669A8" w:rsidRPr="00886F88" w:rsidRDefault="008669A8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3A3CF" w14:textId="77777777" w:rsidR="00910EA8" w:rsidRPr="00886F88" w:rsidRDefault="00910EA8" w:rsidP="008669A8">
      <w:pPr>
        <w:spacing w:after="0" w:line="240" w:lineRule="auto"/>
      </w:pPr>
      <w:r w:rsidRPr="00886F88">
        <w:separator/>
      </w:r>
    </w:p>
  </w:footnote>
  <w:footnote w:type="continuationSeparator" w:id="0">
    <w:p w14:paraId="4E343264" w14:textId="77777777" w:rsidR="00910EA8" w:rsidRPr="00886F88" w:rsidRDefault="00910EA8" w:rsidP="008669A8">
      <w:pPr>
        <w:spacing w:after="0" w:line="240" w:lineRule="auto"/>
      </w:pPr>
      <w:r w:rsidRPr="00886F8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A38A6"/>
    <w:multiLevelType w:val="hybridMultilevel"/>
    <w:tmpl w:val="ABB4B54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CC5FAB"/>
    <w:multiLevelType w:val="hybridMultilevel"/>
    <w:tmpl w:val="EEB2E7A4"/>
    <w:lvl w:ilvl="0" w:tplc="E1D664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689511">
    <w:abstractNumId w:val="0"/>
  </w:num>
  <w:num w:numId="2" w16cid:durableId="21354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8A"/>
    <w:rsid w:val="00017D87"/>
    <w:rsid w:val="00020106"/>
    <w:rsid w:val="000206AF"/>
    <w:rsid w:val="00022273"/>
    <w:rsid w:val="00032B58"/>
    <w:rsid w:val="00033146"/>
    <w:rsid w:val="00034C0C"/>
    <w:rsid w:val="00042C8D"/>
    <w:rsid w:val="00044750"/>
    <w:rsid w:val="000551B8"/>
    <w:rsid w:val="000575EE"/>
    <w:rsid w:val="00075243"/>
    <w:rsid w:val="00077D7B"/>
    <w:rsid w:val="000801AF"/>
    <w:rsid w:val="00080AF9"/>
    <w:rsid w:val="00083BDA"/>
    <w:rsid w:val="00092658"/>
    <w:rsid w:val="00092C02"/>
    <w:rsid w:val="000B191F"/>
    <w:rsid w:val="000C356B"/>
    <w:rsid w:val="000E5944"/>
    <w:rsid w:val="000E6C7C"/>
    <w:rsid w:val="000E7B8C"/>
    <w:rsid w:val="000E7D02"/>
    <w:rsid w:val="000F0D7A"/>
    <w:rsid w:val="000F604B"/>
    <w:rsid w:val="001050E1"/>
    <w:rsid w:val="00132F09"/>
    <w:rsid w:val="00135768"/>
    <w:rsid w:val="001440AC"/>
    <w:rsid w:val="0014531E"/>
    <w:rsid w:val="001524EA"/>
    <w:rsid w:val="00164D49"/>
    <w:rsid w:val="00165BE9"/>
    <w:rsid w:val="0017791C"/>
    <w:rsid w:val="00193464"/>
    <w:rsid w:val="0019510C"/>
    <w:rsid w:val="00195923"/>
    <w:rsid w:val="001B6A11"/>
    <w:rsid w:val="001C62CE"/>
    <w:rsid w:val="001C7F49"/>
    <w:rsid w:val="001E0E66"/>
    <w:rsid w:val="001E1A6E"/>
    <w:rsid w:val="001E45B2"/>
    <w:rsid w:val="001E5F47"/>
    <w:rsid w:val="001F75EC"/>
    <w:rsid w:val="00201325"/>
    <w:rsid w:val="002041C8"/>
    <w:rsid w:val="00215864"/>
    <w:rsid w:val="002163C1"/>
    <w:rsid w:val="00230D71"/>
    <w:rsid w:val="00235A70"/>
    <w:rsid w:val="00243337"/>
    <w:rsid w:val="00254548"/>
    <w:rsid w:val="00254EE5"/>
    <w:rsid w:val="00256D2D"/>
    <w:rsid w:val="00257B2B"/>
    <w:rsid w:val="00263A86"/>
    <w:rsid w:val="00273F77"/>
    <w:rsid w:val="00274298"/>
    <w:rsid w:val="00284D32"/>
    <w:rsid w:val="002877E9"/>
    <w:rsid w:val="002B6A3E"/>
    <w:rsid w:val="002C3E4E"/>
    <w:rsid w:val="002F328E"/>
    <w:rsid w:val="0030380C"/>
    <w:rsid w:val="0031168B"/>
    <w:rsid w:val="00321702"/>
    <w:rsid w:val="0033401C"/>
    <w:rsid w:val="003446BB"/>
    <w:rsid w:val="003455D9"/>
    <w:rsid w:val="003478DF"/>
    <w:rsid w:val="003528B7"/>
    <w:rsid w:val="003578EF"/>
    <w:rsid w:val="00365327"/>
    <w:rsid w:val="003727EC"/>
    <w:rsid w:val="00382E18"/>
    <w:rsid w:val="0038535E"/>
    <w:rsid w:val="00387C30"/>
    <w:rsid w:val="0039017F"/>
    <w:rsid w:val="0039381B"/>
    <w:rsid w:val="003B7FBD"/>
    <w:rsid w:val="003C7AEF"/>
    <w:rsid w:val="003D1CC8"/>
    <w:rsid w:val="003D603B"/>
    <w:rsid w:val="003D77F8"/>
    <w:rsid w:val="003E0053"/>
    <w:rsid w:val="003E1242"/>
    <w:rsid w:val="003E4249"/>
    <w:rsid w:val="003F1200"/>
    <w:rsid w:val="00400BA9"/>
    <w:rsid w:val="004300B1"/>
    <w:rsid w:val="004323C1"/>
    <w:rsid w:val="00436DFC"/>
    <w:rsid w:val="004556D2"/>
    <w:rsid w:val="0046772D"/>
    <w:rsid w:val="00486686"/>
    <w:rsid w:val="00491C60"/>
    <w:rsid w:val="004945E8"/>
    <w:rsid w:val="004A29B3"/>
    <w:rsid w:val="004D26A6"/>
    <w:rsid w:val="00502F6D"/>
    <w:rsid w:val="00511DC0"/>
    <w:rsid w:val="00515E67"/>
    <w:rsid w:val="005440D2"/>
    <w:rsid w:val="005526DD"/>
    <w:rsid w:val="00570C42"/>
    <w:rsid w:val="00570F25"/>
    <w:rsid w:val="005B1E1D"/>
    <w:rsid w:val="005D62DD"/>
    <w:rsid w:val="00602D01"/>
    <w:rsid w:val="00624695"/>
    <w:rsid w:val="00641AC7"/>
    <w:rsid w:val="00642CC9"/>
    <w:rsid w:val="00655B2F"/>
    <w:rsid w:val="006623A7"/>
    <w:rsid w:val="00663ACE"/>
    <w:rsid w:val="006645FE"/>
    <w:rsid w:val="00674803"/>
    <w:rsid w:val="006762F6"/>
    <w:rsid w:val="00676F2A"/>
    <w:rsid w:val="006A0D48"/>
    <w:rsid w:val="006B2980"/>
    <w:rsid w:val="006B3599"/>
    <w:rsid w:val="006D4C0D"/>
    <w:rsid w:val="006D682D"/>
    <w:rsid w:val="006E4F17"/>
    <w:rsid w:val="0071754C"/>
    <w:rsid w:val="007179FC"/>
    <w:rsid w:val="00733253"/>
    <w:rsid w:val="00736F67"/>
    <w:rsid w:val="00740C14"/>
    <w:rsid w:val="00752E70"/>
    <w:rsid w:val="00757F46"/>
    <w:rsid w:val="007873C8"/>
    <w:rsid w:val="007E601A"/>
    <w:rsid w:val="00801011"/>
    <w:rsid w:val="00806250"/>
    <w:rsid w:val="00825740"/>
    <w:rsid w:val="00842C68"/>
    <w:rsid w:val="008447C3"/>
    <w:rsid w:val="008504FB"/>
    <w:rsid w:val="0085109A"/>
    <w:rsid w:val="00852051"/>
    <w:rsid w:val="00857EB5"/>
    <w:rsid w:val="008669A8"/>
    <w:rsid w:val="008740A4"/>
    <w:rsid w:val="008823B6"/>
    <w:rsid w:val="00886F88"/>
    <w:rsid w:val="008B1169"/>
    <w:rsid w:val="008B1D2E"/>
    <w:rsid w:val="008D1E52"/>
    <w:rsid w:val="008D1EDE"/>
    <w:rsid w:val="008F556C"/>
    <w:rsid w:val="00910EA8"/>
    <w:rsid w:val="00912D66"/>
    <w:rsid w:val="00935828"/>
    <w:rsid w:val="009436C5"/>
    <w:rsid w:val="0094385F"/>
    <w:rsid w:val="00946633"/>
    <w:rsid w:val="00954599"/>
    <w:rsid w:val="009663DF"/>
    <w:rsid w:val="009A3B87"/>
    <w:rsid w:val="009A506F"/>
    <w:rsid w:val="009C4862"/>
    <w:rsid w:val="009C6A46"/>
    <w:rsid w:val="009C6F1B"/>
    <w:rsid w:val="009E20D5"/>
    <w:rsid w:val="009F0AB0"/>
    <w:rsid w:val="00A00A95"/>
    <w:rsid w:val="00A02333"/>
    <w:rsid w:val="00A23EAA"/>
    <w:rsid w:val="00A37CBF"/>
    <w:rsid w:val="00A41345"/>
    <w:rsid w:val="00A61E47"/>
    <w:rsid w:val="00A62202"/>
    <w:rsid w:val="00A67857"/>
    <w:rsid w:val="00A733C3"/>
    <w:rsid w:val="00A808C1"/>
    <w:rsid w:val="00A83543"/>
    <w:rsid w:val="00A845AA"/>
    <w:rsid w:val="00A95A39"/>
    <w:rsid w:val="00AB1323"/>
    <w:rsid w:val="00AC2C56"/>
    <w:rsid w:val="00AC6AC5"/>
    <w:rsid w:val="00AD0456"/>
    <w:rsid w:val="00AD5C5C"/>
    <w:rsid w:val="00AD7C91"/>
    <w:rsid w:val="00AE1F98"/>
    <w:rsid w:val="00AE50BA"/>
    <w:rsid w:val="00AE727C"/>
    <w:rsid w:val="00AF0D75"/>
    <w:rsid w:val="00B04441"/>
    <w:rsid w:val="00B07EE8"/>
    <w:rsid w:val="00B22557"/>
    <w:rsid w:val="00B2643F"/>
    <w:rsid w:val="00B45A5C"/>
    <w:rsid w:val="00B52E2D"/>
    <w:rsid w:val="00B624A7"/>
    <w:rsid w:val="00B650E1"/>
    <w:rsid w:val="00B74541"/>
    <w:rsid w:val="00B82F39"/>
    <w:rsid w:val="00B837BF"/>
    <w:rsid w:val="00B86401"/>
    <w:rsid w:val="00B86938"/>
    <w:rsid w:val="00B86A2D"/>
    <w:rsid w:val="00B93065"/>
    <w:rsid w:val="00B95A8A"/>
    <w:rsid w:val="00BB3D5F"/>
    <w:rsid w:val="00BB595D"/>
    <w:rsid w:val="00BC3585"/>
    <w:rsid w:val="00BC7D05"/>
    <w:rsid w:val="00BD0DDB"/>
    <w:rsid w:val="00BD50D7"/>
    <w:rsid w:val="00BD6824"/>
    <w:rsid w:val="00BE527D"/>
    <w:rsid w:val="00BF2E32"/>
    <w:rsid w:val="00BF3315"/>
    <w:rsid w:val="00C02324"/>
    <w:rsid w:val="00C03CA6"/>
    <w:rsid w:val="00C04489"/>
    <w:rsid w:val="00C1637F"/>
    <w:rsid w:val="00C20E58"/>
    <w:rsid w:val="00C35540"/>
    <w:rsid w:val="00C366FA"/>
    <w:rsid w:val="00C44541"/>
    <w:rsid w:val="00C611CF"/>
    <w:rsid w:val="00C65646"/>
    <w:rsid w:val="00C70AF9"/>
    <w:rsid w:val="00C71620"/>
    <w:rsid w:val="00C83D2D"/>
    <w:rsid w:val="00C86627"/>
    <w:rsid w:val="00C87552"/>
    <w:rsid w:val="00CA2A9A"/>
    <w:rsid w:val="00CA7ACC"/>
    <w:rsid w:val="00CB7F88"/>
    <w:rsid w:val="00CC1D2A"/>
    <w:rsid w:val="00CC1D7A"/>
    <w:rsid w:val="00CD16F4"/>
    <w:rsid w:val="00CD2027"/>
    <w:rsid w:val="00CD6280"/>
    <w:rsid w:val="00D04EA2"/>
    <w:rsid w:val="00D05E86"/>
    <w:rsid w:val="00D25082"/>
    <w:rsid w:val="00D34526"/>
    <w:rsid w:val="00D46E03"/>
    <w:rsid w:val="00D64948"/>
    <w:rsid w:val="00D726F6"/>
    <w:rsid w:val="00D8324D"/>
    <w:rsid w:val="00D84EEC"/>
    <w:rsid w:val="00D85F3D"/>
    <w:rsid w:val="00D8693C"/>
    <w:rsid w:val="00D9030B"/>
    <w:rsid w:val="00DA4987"/>
    <w:rsid w:val="00DC00BD"/>
    <w:rsid w:val="00DD043C"/>
    <w:rsid w:val="00DD6AEE"/>
    <w:rsid w:val="00DF02AC"/>
    <w:rsid w:val="00DF46D2"/>
    <w:rsid w:val="00E03108"/>
    <w:rsid w:val="00E1405E"/>
    <w:rsid w:val="00E1673E"/>
    <w:rsid w:val="00E22A4D"/>
    <w:rsid w:val="00E2643C"/>
    <w:rsid w:val="00E3627E"/>
    <w:rsid w:val="00E44EC1"/>
    <w:rsid w:val="00E50E3A"/>
    <w:rsid w:val="00E57F0B"/>
    <w:rsid w:val="00E73A31"/>
    <w:rsid w:val="00E73E5D"/>
    <w:rsid w:val="00E84BD8"/>
    <w:rsid w:val="00EA7D87"/>
    <w:rsid w:val="00EB2D2F"/>
    <w:rsid w:val="00EB51FD"/>
    <w:rsid w:val="00EC7DD4"/>
    <w:rsid w:val="00ED0F42"/>
    <w:rsid w:val="00ED1F95"/>
    <w:rsid w:val="00ED364D"/>
    <w:rsid w:val="00F029CD"/>
    <w:rsid w:val="00F2767E"/>
    <w:rsid w:val="00F51DF7"/>
    <w:rsid w:val="00F523E7"/>
    <w:rsid w:val="00F60B2B"/>
    <w:rsid w:val="00F62144"/>
    <w:rsid w:val="00F7032C"/>
    <w:rsid w:val="00F878C1"/>
    <w:rsid w:val="00F87D7C"/>
    <w:rsid w:val="00FA2372"/>
    <w:rsid w:val="00FC6048"/>
    <w:rsid w:val="00FC646C"/>
    <w:rsid w:val="00FD1269"/>
    <w:rsid w:val="00FD1369"/>
    <w:rsid w:val="00FE492E"/>
    <w:rsid w:val="00FE5097"/>
    <w:rsid w:val="00FF0D24"/>
    <w:rsid w:val="00FF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922C2"/>
  <w15:chartTrackingRefBased/>
  <w15:docId w15:val="{131C4A3E-1934-4FE3-89E8-AFF8AF13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A39"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5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5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5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5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5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9A8"/>
  </w:style>
  <w:style w:type="paragraph" w:styleId="Footer">
    <w:name w:val="footer"/>
    <w:basedOn w:val="Normal"/>
    <w:link w:val="Foot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9A8"/>
  </w:style>
  <w:style w:type="paragraph" w:styleId="BodyText3">
    <w:name w:val="Body Text 3"/>
    <w:basedOn w:val="Normal"/>
    <w:link w:val="BodyText3Char"/>
    <w:rsid w:val="00801011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en-GB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801011"/>
    <w:rPr>
      <w:rFonts w:ascii="Times New Roman" w:eastAsia="Times New Roman" w:hAnsi="Times New Roman" w:cs="Times New Roman"/>
      <w:kern w:val="0"/>
      <w:sz w:val="16"/>
      <w:szCs w:val="16"/>
      <w:lang w:val="en-GB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BD50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D50D7"/>
  </w:style>
  <w:style w:type="table" w:styleId="TableGrid">
    <w:name w:val="Table Grid"/>
    <w:basedOn w:val="TableNormal"/>
    <w:uiPriority w:val="59"/>
    <w:rsid w:val="00BD50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520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8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307B4-73E0-458F-A631-BFA9CD9A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Elek</dc:creator>
  <cp:keywords/>
  <dc:description/>
  <cp:lastModifiedBy>Adriana Elek</cp:lastModifiedBy>
  <cp:revision>38</cp:revision>
  <cp:lastPrinted>2025-12-10T06:35:00Z</cp:lastPrinted>
  <dcterms:created xsi:type="dcterms:W3CDTF">2024-09-19T08:04:00Z</dcterms:created>
  <dcterms:modified xsi:type="dcterms:W3CDTF">2025-12-15T07:43:00Z</dcterms:modified>
</cp:coreProperties>
</file>